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4D7B1" w14:textId="77777777" w:rsidR="00C96E99" w:rsidRDefault="00C96E99" w:rsidP="00C96E99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Fig. 1</w:t>
      </w:r>
      <w:r>
        <w:rPr>
          <w:rFonts w:ascii="Times New Roman" w:hAnsi="Times New Roman" w:cs="Times New Roman"/>
          <w:sz w:val="24"/>
        </w:rPr>
        <w:t xml:space="preserve"> miR-130b enhances ESCC cell proliferation and invasion and represses its apoptosis. A, RT-qPCR to evaluate the efficiency miR-130b mimic or inhibitor in KYSE270 cells. B, CCK-8 to detect the effect of miR-130b on KYSE270 cell proliferation in response to miR-130b inhibitor or miR-130b mimic. C, </w:t>
      </w:r>
      <w:proofErr w:type="spellStart"/>
      <w:r>
        <w:rPr>
          <w:rFonts w:ascii="Times New Roman" w:hAnsi="Times New Roman" w:cs="Times New Roman"/>
          <w:sz w:val="24"/>
        </w:rPr>
        <w:t>Transwell</w:t>
      </w:r>
      <w:proofErr w:type="spellEnd"/>
      <w:r>
        <w:rPr>
          <w:rFonts w:ascii="Times New Roman" w:hAnsi="Times New Roman" w:cs="Times New Roman"/>
          <w:sz w:val="24"/>
        </w:rPr>
        <w:t xml:space="preserve"> assay to detect the effect of miR-130b on KYSE270 cell invasion in response to miR-130b inhibitor or miR-130b mimic (× 200). D, Flow cytometry to detect the effect of miR-130b on KYSE270 cell apoptosis in response to miR-130b inhibitor or miR-130b mimic. E, Western blot analysis to detect the effect of miR-130b on the expression of Ki67, MMP-2 and </w:t>
      </w:r>
      <w:proofErr w:type="spellStart"/>
      <w:r>
        <w:rPr>
          <w:rFonts w:ascii="Times New Roman" w:hAnsi="Times New Roman" w:cs="Times New Roman"/>
          <w:sz w:val="24"/>
        </w:rPr>
        <w:t>Bax</w:t>
      </w:r>
      <w:proofErr w:type="spellEnd"/>
      <w:r>
        <w:rPr>
          <w:rFonts w:ascii="Times New Roman" w:hAnsi="Times New Roman" w:cs="Times New Roman"/>
          <w:sz w:val="24"/>
        </w:rPr>
        <w:t xml:space="preserve"> in the KYSE270 cells in response to miR-130b inhibitor or miR-130b mimic. * </w:t>
      </w:r>
      <w:r>
        <w:rPr>
          <w:rFonts w:ascii="Times New Roman" w:hAnsi="Times New Roman" w:cs="Times New Roman"/>
          <w:i/>
          <w:sz w:val="24"/>
        </w:rPr>
        <w:t xml:space="preserve">p &lt; </w:t>
      </w:r>
      <w:r>
        <w:rPr>
          <w:rFonts w:ascii="Times New Roman" w:hAnsi="Times New Roman" w:cs="Times New Roman"/>
          <w:sz w:val="24"/>
        </w:rPr>
        <w:t xml:space="preserve">0.05 versus the inhibitor NC group, # </w:t>
      </w:r>
      <w:r>
        <w:rPr>
          <w:rFonts w:ascii="Times New Roman" w:hAnsi="Times New Roman" w:cs="Times New Roman"/>
          <w:i/>
          <w:sz w:val="24"/>
        </w:rPr>
        <w:t xml:space="preserve">p &lt; </w:t>
      </w:r>
      <w:r>
        <w:rPr>
          <w:rFonts w:ascii="Times New Roman" w:hAnsi="Times New Roman" w:cs="Times New Roman"/>
          <w:sz w:val="24"/>
        </w:rPr>
        <w:t xml:space="preserve">0.05 versus the mimic-NC group. Data were depicted in mean ± standard deviation. The independent sample </w:t>
      </w:r>
      <w:r>
        <w:rPr>
          <w:rFonts w:ascii="Times New Roman" w:hAnsi="Times New Roman" w:cs="Times New Roman"/>
          <w:i/>
          <w:iCs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 test was used for comparison between two groups, and repeated measures </w:t>
      </w:r>
      <w:r>
        <w:rPr>
          <w:rFonts w:ascii="Times New Roman" w:eastAsia="Microsoft YaHei" w:hAnsi="Times New Roman" w:cs="Times New Roman"/>
          <w:bCs/>
          <w:sz w:val="24"/>
        </w:rPr>
        <w:t xml:space="preserve">ANOVA for comparison </w:t>
      </w:r>
      <w:r>
        <w:rPr>
          <w:rFonts w:ascii="Times New Roman" w:hAnsi="Times New Roman" w:cs="Times New Roman"/>
          <w:sz w:val="24"/>
        </w:rPr>
        <w:t>at different time points. The experiment was independently repeated 3 times.</w:t>
      </w:r>
    </w:p>
    <w:p w14:paraId="72837897" w14:textId="77777777" w:rsidR="00C96E99" w:rsidRDefault="00C96E99" w:rsidP="00C96E99">
      <w:pPr>
        <w:adjustRightInd w:val="0"/>
        <w:snapToGrid w:val="0"/>
        <w:spacing w:line="480" w:lineRule="auto"/>
      </w:pPr>
      <w:r>
        <w:rPr>
          <w:rFonts w:ascii="Times New Roman" w:hAnsi="Times New Roman" w:cs="Times New Roman"/>
          <w:b/>
          <w:bCs/>
          <w:sz w:val="24"/>
        </w:rPr>
        <w:t>Supplementary Fig. 2</w:t>
      </w:r>
      <w:r>
        <w:rPr>
          <w:rFonts w:ascii="Times New Roman" w:hAnsi="Times New Roman" w:cs="Times New Roman"/>
          <w:sz w:val="24"/>
        </w:rPr>
        <w:t xml:space="preserve"> DIO3OS and PAX9 can overturn the impact of miR-130b on the sensitivity of ESCC to radiotherapy. A, RT-qPCR to detect transfection efficiency of oe-DIO3OS, miR-130b mimic and oe-PAX9 in KYSE270 cells. B, CCK-8 assay to detect the viability of transfected KYSE270 cells in response to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radiation. C, Colony formation assay to detect the survival ability of transfected KYSE270 cells in response to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radiation. D, Flow cytometry to detect the apoptosis rate of transfected KYSE270 cells in response to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radiation. E, Western blot analysis to detect expression of PAX9, Ki67 and cleaved caspase-3 in transfected KYSE270 cells in response to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radiation. Except for Panel A, * </w:t>
      </w:r>
      <w:r>
        <w:rPr>
          <w:rFonts w:ascii="Times New Roman" w:hAnsi="Times New Roman" w:cs="Times New Roman"/>
          <w:i/>
          <w:sz w:val="24"/>
        </w:rPr>
        <w:t xml:space="preserve">p &lt; </w:t>
      </w:r>
      <w:r>
        <w:rPr>
          <w:rFonts w:ascii="Times New Roman" w:hAnsi="Times New Roman" w:cs="Times New Roman"/>
          <w:sz w:val="24"/>
        </w:rPr>
        <w:t xml:space="preserve">0.05 versus the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+ mimic-NC + </w:t>
      </w:r>
      <w:proofErr w:type="spellStart"/>
      <w:r>
        <w:rPr>
          <w:rFonts w:ascii="Times New Roman" w:hAnsi="Times New Roman" w:cs="Times New Roman"/>
          <w:sz w:val="24"/>
        </w:rPr>
        <w:t>oe</w:t>
      </w:r>
      <w:proofErr w:type="spellEnd"/>
      <w:r>
        <w:rPr>
          <w:rFonts w:ascii="Times New Roman" w:hAnsi="Times New Roman" w:cs="Times New Roman"/>
          <w:sz w:val="24"/>
        </w:rPr>
        <w:t xml:space="preserve">-NC group, # </w:t>
      </w:r>
      <w:r>
        <w:rPr>
          <w:rFonts w:ascii="Times New Roman" w:hAnsi="Times New Roman" w:cs="Times New Roman"/>
          <w:i/>
          <w:sz w:val="24"/>
        </w:rPr>
        <w:t xml:space="preserve">p &lt; </w:t>
      </w:r>
      <w:r>
        <w:rPr>
          <w:rFonts w:ascii="Times New Roman" w:hAnsi="Times New Roman" w:cs="Times New Roman"/>
          <w:sz w:val="24"/>
        </w:rPr>
        <w:t xml:space="preserve">0.05 versus the 4 </w:t>
      </w:r>
      <w:proofErr w:type="spellStart"/>
      <w:r>
        <w:rPr>
          <w:rFonts w:ascii="Times New Roman" w:hAnsi="Times New Roman" w:cs="Times New Roman"/>
          <w:sz w:val="24"/>
        </w:rPr>
        <w:t>Gy</w:t>
      </w:r>
      <w:proofErr w:type="spellEnd"/>
      <w:r>
        <w:rPr>
          <w:rFonts w:ascii="Times New Roman" w:hAnsi="Times New Roman" w:cs="Times New Roman"/>
          <w:sz w:val="24"/>
        </w:rPr>
        <w:t xml:space="preserve"> + miR-130b mimic + </w:t>
      </w:r>
      <w:proofErr w:type="spellStart"/>
      <w:r>
        <w:rPr>
          <w:rFonts w:ascii="Times New Roman" w:hAnsi="Times New Roman" w:cs="Times New Roman"/>
          <w:sz w:val="24"/>
        </w:rPr>
        <w:t>oe</w:t>
      </w:r>
      <w:proofErr w:type="spellEnd"/>
      <w:r>
        <w:rPr>
          <w:rFonts w:ascii="Times New Roman" w:hAnsi="Times New Roman" w:cs="Times New Roman"/>
          <w:sz w:val="24"/>
        </w:rPr>
        <w:t xml:space="preserve">-NC group. Data were depicted in mean ± standard deviation. The independent sample </w:t>
      </w:r>
      <w:r>
        <w:rPr>
          <w:rFonts w:ascii="Times New Roman" w:hAnsi="Times New Roman" w:cs="Times New Roman"/>
          <w:i/>
          <w:iCs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 test was used for comparison between two groups, and repeated measures </w:t>
      </w:r>
      <w:r>
        <w:rPr>
          <w:rFonts w:ascii="Times New Roman" w:eastAsia="Microsoft YaHei" w:hAnsi="Times New Roman" w:cs="Times New Roman"/>
          <w:bCs/>
          <w:sz w:val="24"/>
        </w:rPr>
        <w:t xml:space="preserve">ANOVA followed by Tukey's post hoc test was utilized for </w:t>
      </w:r>
      <w:r>
        <w:rPr>
          <w:rFonts w:ascii="Times New Roman" w:eastAsia="Microsoft YaHei" w:hAnsi="Times New Roman" w:cs="Times New Roman"/>
          <w:bCs/>
          <w:sz w:val="24"/>
        </w:rPr>
        <w:lastRenderedPageBreak/>
        <w:t>comparison among multiple groups at various time points</w:t>
      </w:r>
      <w:r>
        <w:rPr>
          <w:rFonts w:ascii="Times New Roman" w:hAnsi="Times New Roman" w:cs="Times New Roman"/>
          <w:sz w:val="24"/>
        </w:rPr>
        <w:t>. The experiment was independently repeated 3 times.</w:t>
      </w:r>
    </w:p>
    <w:p w14:paraId="38B62A26" w14:textId="77777777" w:rsidR="00C96E99" w:rsidRDefault="00C96E99">
      <w:bookmarkStart w:id="0" w:name="_GoBack"/>
      <w:bookmarkEnd w:id="0"/>
    </w:p>
    <w:sectPr w:rsidR="00C96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E99"/>
    <w:rsid w:val="00C9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9C982"/>
  <w15:chartTrackingRefBased/>
  <w15:docId w15:val="{AE7AFB35-FF30-4EFD-B4A3-E11CEA3EB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E99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91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2019-11-08T15:32:00Z</dcterms:created>
  <dcterms:modified xsi:type="dcterms:W3CDTF">2019-11-08T15:33:00Z</dcterms:modified>
</cp:coreProperties>
</file>